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BB98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0FF2443" w14:textId="77777777" w:rsidTr="005F7F7E">
        <w:tc>
          <w:tcPr>
            <w:tcW w:w="2438" w:type="dxa"/>
            <w:shd w:val="clear" w:color="auto" w:fill="auto"/>
          </w:tcPr>
          <w:p w14:paraId="3068619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F7545AF" w14:textId="77777777"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14:paraId="64612143" w14:textId="77777777" w:rsidTr="005F7F7E">
        <w:tc>
          <w:tcPr>
            <w:tcW w:w="2438" w:type="dxa"/>
            <w:shd w:val="clear" w:color="auto" w:fill="auto"/>
          </w:tcPr>
          <w:p w14:paraId="171F087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C939252" w14:textId="77777777" w:rsidR="00F445B1" w:rsidRPr="001356F1" w:rsidRDefault="00527A9B" w:rsidP="00527A9B">
            <w:pPr>
              <w:rPr>
                <w:b/>
              </w:rPr>
            </w:pPr>
            <w:r>
              <w:rPr>
                <w:rStyle w:val="Firstpagetablebold"/>
              </w:rPr>
              <w:t>6</w:t>
            </w:r>
            <w:r w:rsidR="00E651E9" w:rsidRPr="00E651E9">
              <w:rPr>
                <w:rStyle w:val="Firstpagetablebold"/>
                <w:vertAlign w:val="superscript"/>
              </w:rPr>
              <w:t>th</w:t>
            </w:r>
            <w:r w:rsidR="00E651E9">
              <w:rPr>
                <w:rStyle w:val="Firstpagetablebold"/>
              </w:rPr>
              <w:t xml:space="preserve"> </w:t>
            </w:r>
            <w:r w:rsidR="00D73BBE">
              <w:rPr>
                <w:rStyle w:val="Firstpagetablebold"/>
              </w:rPr>
              <w:t>February</w:t>
            </w:r>
            <w:r w:rsidR="00940400">
              <w:rPr>
                <w:rStyle w:val="Firstpagetablebold"/>
              </w:rPr>
              <w:t xml:space="preserve"> 20</w:t>
            </w:r>
            <w:r w:rsidR="00D73BBE">
              <w:rPr>
                <w:rStyle w:val="Firstpagetablebold"/>
              </w:rPr>
              <w:t>2</w:t>
            </w:r>
            <w:r>
              <w:rPr>
                <w:rStyle w:val="Firstpagetablebold"/>
              </w:rPr>
              <w:t>3</w:t>
            </w:r>
          </w:p>
        </w:tc>
      </w:tr>
      <w:tr w:rsidR="00CE544A" w:rsidRPr="00975B07" w14:paraId="3F3C364A" w14:textId="77777777" w:rsidTr="005F7F7E">
        <w:tc>
          <w:tcPr>
            <w:tcW w:w="2438" w:type="dxa"/>
            <w:shd w:val="clear" w:color="auto" w:fill="auto"/>
          </w:tcPr>
          <w:p w14:paraId="7D46007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18DFD54" w14:textId="77777777" w:rsidR="00F445B1" w:rsidRPr="001356F1" w:rsidRDefault="00940400" w:rsidP="00D73BBE">
            <w:pPr>
              <w:rPr>
                <w:rStyle w:val="Firstpagetablebold"/>
              </w:rPr>
            </w:pPr>
            <w:r>
              <w:rPr>
                <w:rStyle w:val="Firstpagetablebold"/>
              </w:rPr>
              <w:t xml:space="preserve">Head of </w:t>
            </w:r>
            <w:r w:rsidR="00D73BBE">
              <w:rPr>
                <w:rStyle w:val="Firstpagetablebold"/>
              </w:rPr>
              <w:t>Regulatory Services and Community Safety</w:t>
            </w:r>
          </w:p>
        </w:tc>
      </w:tr>
      <w:tr w:rsidR="00CE544A" w:rsidRPr="00975B07" w14:paraId="1C603FB3" w14:textId="77777777" w:rsidTr="005F7F7E">
        <w:tc>
          <w:tcPr>
            <w:tcW w:w="2438" w:type="dxa"/>
            <w:shd w:val="clear" w:color="auto" w:fill="auto"/>
          </w:tcPr>
          <w:p w14:paraId="03FB864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35A5AF4" w14:textId="5FB7656E" w:rsidR="00F445B1" w:rsidRPr="00940400" w:rsidRDefault="00CA26EE" w:rsidP="00705ADD">
            <w:pPr>
              <w:rPr>
                <w:rStyle w:val="Firstpagetablebold"/>
                <w:bCs/>
              </w:rPr>
            </w:pPr>
            <w:r w:rsidRPr="00CA26EE">
              <w:rPr>
                <w:b/>
              </w:rPr>
              <w:t>Miscellaneous Licensing:</w:t>
            </w:r>
            <w:r w:rsidR="00E651E9">
              <w:rPr>
                <w:b/>
                <w:bCs/>
              </w:rPr>
              <w:t xml:space="preserve"> Fees and Charges for the 202</w:t>
            </w:r>
            <w:r w:rsidR="00527A9B">
              <w:rPr>
                <w:b/>
                <w:bCs/>
              </w:rPr>
              <w:t>3</w:t>
            </w:r>
            <w:r w:rsidR="00E651E9">
              <w:rPr>
                <w:b/>
                <w:bCs/>
              </w:rPr>
              <w:t>/2</w:t>
            </w:r>
            <w:r w:rsidR="00527A9B">
              <w:rPr>
                <w:b/>
                <w:bCs/>
              </w:rPr>
              <w:t>4</w:t>
            </w:r>
            <w:r w:rsidR="00940400">
              <w:rPr>
                <w:b/>
                <w:bCs/>
              </w:rPr>
              <w:t xml:space="preserve"> financial year</w:t>
            </w:r>
          </w:p>
        </w:tc>
      </w:tr>
    </w:tbl>
    <w:p w14:paraId="33786F93" w14:textId="77777777" w:rsidR="004F20EF" w:rsidRDefault="004F20EF" w:rsidP="004A6D2F"/>
    <w:tbl>
      <w:tblPr>
        <w:tblW w:w="938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296"/>
        <w:gridCol w:w="6663"/>
      </w:tblGrid>
      <w:tr w:rsidR="00D5547E" w14:paraId="45CA214D" w14:textId="77777777" w:rsidTr="00507926">
        <w:tc>
          <w:tcPr>
            <w:tcW w:w="9385" w:type="dxa"/>
            <w:gridSpan w:val="3"/>
            <w:tcBorders>
              <w:top w:val="single" w:sz="4" w:space="0" w:color="auto"/>
              <w:left w:val="single" w:sz="4" w:space="0" w:color="auto"/>
              <w:bottom w:val="single" w:sz="4" w:space="0" w:color="auto"/>
              <w:right w:val="single" w:sz="4" w:space="0" w:color="auto"/>
            </w:tcBorders>
            <w:hideMark/>
          </w:tcPr>
          <w:p w14:paraId="2E5D211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5E3F25B" w14:textId="77777777" w:rsidTr="00507926">
        <w:trPr>
          <w:trHeight w:val="809"/>
        </w:trPr>
        <w:tc>
          <w:tcPr>
            <w:tcW w:w="2722" w:type="dxa"/>
            <w:gridSpan w:val="2"/>
            <w:tcBorders>
              <w:top w:val="single" w:sz="4" w:space="0" w:color="auto"/>
              <w:left w:val="single" w:sz="4" w:space="0" w:color="auto"/>
              <w:bottom w:val="nil"/>
              <w:right w:val="nil"/>
            </w:tcBorders>
            <w:hideMark/>
          </w:tcPr>
          <w:p w14:paraId="766C738A" w14:textId="77777777" w:rsidR="00D5547E" w:rsidRDefault="00D5547E">
            <w:pPr>
              <w:rPr>
                <w:rStyle w:val="Firstpagetablebold"/>
              </w:rPr>
            </w:pPr>
            <w:r>
              <w:rPr>
                <w:rStyle w:val="Firstpagetablebold"/>
              </w:rPr>
              <w:t>Purpose of report:</w:t>
            </w:r>
          </w:p>
          <w:p w14:paraId="39997CE7" w14:textId="77777777" w:rsidR="00471319" w:rsidRDefault="00471319">
            <w:pPr>
              <w:rPr>
                <w:rStyle w:val="Firstpagetablebold"/>
              </w:rPr>
            </w:pPr>
          </w:p>
        </w:tc>
        <w:tc>
          <w:tcPr>
            <w:tcW w:w="6663" w:type="dxa"/>
            <w:tcBorders>
              <w:top w:val="single" w:sz="4" w:space="0" w:color="auto"/>
              <w:left w:val="nil"/>
              <w:bottom w:val="nil"/>
              <w:right w:val="single" w:sz="4" w:space="0" w:color="auto"/>
            </w:tcBorders>
            <w:hideMark/>
          </w:tcPr>
          <w:p w14:paraId="505988DA" w14:textId="3B5C05F7" w:rsidR="00471319" w:rsidRPr="00940400" w:rsidRDefault="00940400" w:rsidP="00705ADD">
            <w:r w:rsidRPr="00940400">
              <w:t xml:space="preserve">To seek agreement of the </w:t>
            </w:r>
            <w:r w:rsidR="00E651E9">
              <w:t>licence fees for 202</w:t>
            </w:r>
            <w:r w:rsidR="00705ADD">
              <w:t>3</w:t>
            </w:r>
            <w:r w:rsidR="00E651E9">
              <w:t>/2</w:t>
            </w:r>
            <w:r w:rsidR="00705ADD">
              <w:t>4</w:t>
            </w:r>
            <w:r w:rsidRPr="00940400">
              <w:t xml:space="preserve"> where the Council has discretion over the level of fee charged</w:t>
            </w:r>
          </w:p>
        </w:tc>
      </w:tr>
      <w:tr w:rsidR="00471319" w14:paraId="0965232D" w14:textId="77777777" w:rsidTr="00507926">
        <w:trPr>
          <w:trHeight w:val="531"/>
        </w:trPr>
        <w:tc>
          <w:tcPr>
            <w:tcW w:w="2722" w:type="dxa"/>
            <w:gridSpan w:val="2"/>
            <w:tcBorders>
              <w:top w:val="nil"/>
              <w:left w:val="single" w:sz="4" w:space="0" w:color="auto"/>
              <w:bottom w:val="nil"/>
              <w:right w:val="nil"/>
            </w:tcBorders>
          </w:tcPr>
          <w:p w14:paraId="64D55AC2" w14:textId="77777777" w:rsidR="00471319" w:rsidRDefault="00471319">
            <w:pPr>
              <w:rPr>
                <w:rStyle w:val="Firstpagetablebold"/>
              </w:rPr>
            </w:pPr>
            <w:r>
              <w:rPr>
                <w:rStyle w:val="Firstpagetablebold"/>
              </w:rPr>
              <w:t>Corporate Priority</w:t>
            </w:r>
          </w:p>
        </w:tc>
        <w:tc>
          <w:tcPr>
            <w:tcW w:w="6663" w:type="dxa"/>
            <w:tcBorders>
              <w:top w:val="nil"/>
              <w:left w:val="nil"/>
              <w:bottom w:val="nil"/>
              <w:right w:val="single" w:sz="4" w:space="0" w:color="auto"/>
            </w:tcBorders>
          </w:tcPr>
          <w:p w14:paraId="6807AC2D" w14:textId="77777777" w:rsidR="00D57F03" w:rsidRPr="001356F1" w:rsidRDefault="00D6640B" w:rsidP="00B225E7">
            <w:r w:rsidRPr="00D6640B">
              <w:t>Enable an inclusive economy</w:t>
            </w:r>
            <w:r>
              <w:t xml:space="preserve"> and Support Thriving Communities</w:t>
            </w:r>
            <w:r w:rsidR="00B225E7">
              <w:t xml:space="preserve"> </w:t>
            </w:r>
          </w:p>
        </w:tc>
      </w:tr>
      <w:tr w:rsidR="00D57F03" w14:paraId="741AC917" w14:textId="77777777" w:rsidTr="00507926">
        <w:trPr>
          <w:trHeight w:val="531"/>
        </w:trPr>
        <w:tc>
          <w:tcPr>
            <w:tcW w:w="2722" w:type="dxa"/>
            <w:gridSpan w:val="2"/>
            <w:tcBorders>
              <w:top w:val="nil"/>
              <w:left w:val="single" w:sz="4" w:space="0" w:color="auto"/>
              <w:bottom w:val="nil"/>
              <w:right w:val="nil"/>
            </w:tcBorders>
          </w:tcPr>
          <w:p w14:paraId="08032D3F" w14:textId="77777777" w:rsidR="00D57F03" w:rsidRDefault="00D57F03">
            <w:pPr>
              <w:rPr>
                <w:rStyle w:val="Firstpagetablebold"/>
              </w:rPr>
            </w:pPr>
            <w:r>
              <w:rPr>
                <w:rStyle w:val="Firstpagetablebold"/>
              </w:rPr>
              <w:t>Policy Framework</w:t>
            </w:r>
          </w:p>
        </w:tc>
        <w:tc>
          <w:tcPr>
            <w:tcW w:w="6663" w:type="dxa"/>
            <w:tcBorders>
              <w:top w:val="nil"/>
              <w:left w:val="nil"/>
              <w:bottom w:val="nil"/>
              <w:right w:val="single" w:sz="4" w:space="0" w:color="auto"/>
            </w:tcBorders>
          </w:tcPr>
          <w:p w14:paraId="7CEB90B1" w14:textId="77777777" w:rsidR="00D57F03" w:rsidRDefault="00B225E7" w:rsidP="00940400">
            <w:r>
              <w:t>None</w:t>
            </w:r>
          </w:p>
        </w:tc>
      </w:tr>
      <w:tr w:rsidR="005F7F7E" w:rsidRPr="00975B07" w14:paraId="43472ACE" w14:textId="77777777" w:rsidTr="00507926">
        <w:trPr>
          <w:trHeight w:val="413"/>
        </w:trPr>
        <w:tc>
          <w:tcPr>
            <w:tcW w:w="9385" w:type="dxa"/>
            <w:gridSpan w:val="3"/>
            <w:tcBorders>
              <w:bottom w:val="single" w:sz="8" w:space="0" w:color="000000"/>
            </w:tcBorders>
          </w:tcPr>
          <w:p w14:paraId="42A15BAF" w14:textId="3792137F" w:rsidR="005F7F7E" w:rsidRPr="00975B07" w:rsidRDefault="005F7F7E" w:rsidP="00C44BAE">
            <w:r>
              <w:rPr>
                <w:rStyle w:val="Firstpagetablebold"/>
              </w:rPr>
              <w:t>Recommendation(s):</w:t>
            </w:r>
            <w:r w:rsidR="00507926">
              <w:rPr>
                <w:rStyle w:val="Firstpagetablebold"/>
              </w:rPr>
              <w:t xml:space="preserve"> </w:t>
            </w:r>
            <w:r w:rsidRPr="008A43AA">
              <w:rPr>
                <w:rStyle w:val="Firstpagetablebold"/>
                <w:b w:val="0"/>
              </w:rPr>
              <w:t>That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14:paraId="0034CE62" w14:textId="77777777" w:rsidTr="00507926">
        <w:trPr>
          <w:trHeight w:val="64"/>
        </w:trPr>
        <w:tc>
          <w:tcPr>
            <w:tcW w:w="426" w:type="dxa"/>
            <w:tcBorders>
              <w:top w:val="single" w:sz="8" w:space="0" w:color="000000"/>
              <w:left w:val="single" w:sz="8" w:space="0" w:color="000000"/>
              <w:bottom w:val="single" w:sz="4" w:space="0" w:color="auto"/>
              <w:right w:val="nil"/>
            </w:tcBorders>
          </w:tcPr>
          <w:p w14:paraId="1C41FFB3" w14:textId="77777777" w:rsidR="0030208D" w:rsidRPr="00975B07" w:rsidRDefault="00046D2B" w:rsidP="004A6D2F">
            <w:r w:rsidRPr="00975B07">
              <w:t>1.</w:t>
            </w:r>
          </w:p>
        </w:tc>
        <w:tc>
          <w:tcPr>
            <w:tcW w:w="8959" w:type="dxa"/>
            <w:gridSpan w:val="2"/>
            <w:tcBorders>
              <w:top w:val="single" w:sz="8" w:space="0" w:color="000000"/>
              <w:left w:val="nil"/>
              <w:bottom w:val="single" w:sz="4" w:space="0" w:color="auto"/>
              <w:right w:val="single" w:sz="8" w:space="0" w:color="000000"/>
            </w:tcBorders>
            <w:shd w:val="clear" w:color="auto" w:fill="auto"/>
          </w:tcPr>
          <w:p w14:paraId="2AFB27DB" w14:textId="17924C74" w:rsidR="0030208D" w:rsidRPr="001356F1" w:rsidRDefault="00853FB3" w:rsidP="007704A3">
            <w:r>
              <w:rPr>
                <w:b/>
              </w:rPr>
              <w:t xml:space="preserve">Agree </w:t>
            </w:r>
            <w:r w:rsidRPr="00853FB3">
              <w:t>the l</w:t>
            </w:r>
            <w:r w:rsidR="00E651E9">
              <w:t>icence fees and charges for 202</w:t>
            </w:r>
            <w:r w:rsidR="00527A9B">
              <w:t>3</w:t>
            </w:r>
            <w:r w:rsidRPr="00853FB3">
              <w:t>/</w:t>
            </w:r>
            <w:r w:rsidR="00E651E9">
              <w:t>2</w:t>
            </w:r>
            <w:r w:rsidR="00527A9B">
              <w:t>4</w:t>
            </w:r>
            <w:r>
              <w:t xml:space="preserve"> as set out in  Appendix 1 </w:t>
            </w:r>
            <w:r w:rsidRPr="00853FB3">
              <w:t>and recommend them to Council</w:t>
            </w:r>
          </w:p>
        </w:tc>
      </w:tr>
    </w:tbl>
    <w:p w14:paraId="04DE4691" w14:textId="77777777" w:rsidR="00CE544A" w:rsidRPr="009E51FC" w:rsidRDefault="00CE544A" w:rsidP="004A6D2F"/>
    <w:tbl>
      <w:tblPr>
        <w:tblW w:w="9380"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009"/>
        <w:gridCol w:w="7371"/>
      </w:tblGrid>
      <w:tr w:rsidR="00966D42" w:rsidRPr="00975B07" w14:paraId="3BE1A445" w14:textId="77777777" w:rsidTr="00507926">
        <w:tc>
          <w:tcPr>
            <w:tcW w:w="9380" w:type="dxa"/>
            <w:gridSpan w:val="2"/>
            <w:shd w:val="clear" w:color="auto" w:fill="auto"/>
          </w:tcPr>
          <w:p w14:paraId="5E45EEA9" w14:textId="77777777" w:rsidR="00966D42" w:rsidRPr="00975B07" w:rsidRDefault="00966D42" w:rsidP="00263EA3">
            <w:pPr>
              <w:jc w:val="center"/>
            </w:pPr>
            <w:r w:rsidRPr="00745BF0">
              <w:rPr>
                <w:rStyle w:val="Firstpagetablebold"/>
              </w:rPr>
              <w:t>Appendices</w:t>
            </w:r>
          </w:p>
        </w:tc>
      </w:tr>
      <w:tr w:rsidR="00ED5860" w:rsidRPr="00975B07" w14:paraId="495D2DE6" w14:textId="77777777" w:rsidTr="00507926">
        <w:tc>
          <w:tcPr>
            <w:tcW w:w="2009" w:type="dxa"/>
            <w:shd w:val="clear" w:color="auto" w:fill="auto"/>
          </w:tcPr>
          <w:p w14:paraId="5A67BAB7" w14:textId="77777777" w:rsidR="00ED5860" w:rsidRPr="00975B07" w:rsidRDefault="00ED5860" w:rsidP="004A6D2F">
            <w:r w:rsidRPr="00975B07">
              <w:t>Appendix 1</w:t>
            </w:r>
          </w:p>
        </w:tc>
        <w:tc>
          <w:tcPr>
            <w:tcW w:w="7371" w:type="dxa"/>
          </w:tcPr>
          <w:p w14:paraId="5872DB8A" w14:textId="77777777" w:rsidR="00ED5860" w:rsidRPr="00853FB3" w:rsidRDefault="003356D5" w:rsidP="00E651E9">
            <w:r w:rsidRPr="003356D5">
              <w:t xml:space="preserve">Acupuncture, Ear Piercing, Electrolysis &amp; Tattooing, Animal Boarding, Dangerous Wild Animals, Dog Breeding, Pavement Cafes, Pet Shops, Exhibiting Animals, </w:t>
            </w:r>
            <w:bookmarkStart w:id="0" w:name="_GoBack"/>
            <w:bookmarkEnd w:id="0"/>
            <w:r w:rsidRPr="003356D5">
              <w:t>Riding Establishments, Street Trading and Zoos.</w:t>
            </w:r>
          </w:p>
        </w:tc>
      </w:tr>
    </w:tbl>
    <w:p w14:paraId="16B6B88F" w14:textId="77777777" w:rsidR="0040736F" w:rsidRDefault="00853FB3" w:rsidP="00853FB3">
      <w:pPr>
        <w:pStyle w:val="Heading1"/>
        <w:spacing w:after="0"/>
      </w:pPr>
      <w:r>
        <w:t>Introduction</w:t>
      </w:r>
      <w:r w:rsidR="00404032" w:rsidRPr="001356F1">
        <w:t xml:space="preserve"> </w:t>
      </w:r>
    </w:p>
    <w:p w14:paraId="7AD2FDEB" w14:textId="77777777" w:rsidR="00853FB3" w:rsidRPr="00853FB3" w:rsidRDefault="00853FB3" w:rsidP="00853FB3"/>
    <w:p w14:paraId="0B641483" w14:textId="40A0E6CD" w:rsidR="00853FB3" w:rsidRDefault="00853FB3" w:rsidP="00D73BBE">
      <w:pPr>
        <w:numPr>
          <w:ilvl w:val="0"/>
          <w:numId w:val="34"/>
        </w:numPr>
        <w:tabs>
          <w:tab w:val="num" w:pos="720"/>
        </w:tabs>
        <w:spacing w:after="0"/>
        <w:ind w:left="720" w:hanging="720"/>
      </w:pPr>
      <w:r>
        <w:lastRenderedPageBreak/>
        <w:t>The purpose of this report is to seek agreement to the licence fees and ch</w:t>
      </w:r>
      <w:r w:rsidR="00E651E9">
        <w:t>arges that should apply for 202</w:t>
      </w:r>
      <w:r w:rsidR="00527A9B">
        <w:t>3</w:t>
      </w:r>
      <w:r w:rsidR="00E651E9">
        <w:t>/2</w:t>
      </w:r>
      <w:r w:rsidR="00527A9B">
        <w:t>4</w:t>
      </w:r>
      <w:r>
        <w:t>, for those activities where the Council has discretion. This report does not cover the fees for Licensing</w:t>
      </w:r>
      <w:r w:rsidR="007704A3">
        <w:t xml:space="preserve"> Act</w:t>
      </w:r>
      <w:r>
        <w:t xml:space="preserve"> and Gambling Act activities, which are reported separately to the Licensing and Gambling Acts Committee.</w:t>
      </w:r>
    </w:p>
    <w:p w14:paraId="1973AE0C" w14:textId="77777777" w:rsidR="00853FB3" w:rsidRDefault="00853FB3" w:rsidP="00853FB3">
      <w:pPr>
        <w:spacing w:after="0"/>
      </w:pPr>
    </w:p>
    <w:p w14:paraId="05E8CEA4" w14:textId="77777777" w:rsidR="00853FB3" w:rsidRDefault="00853FB3" w:rsidP="00853FB3">
      <w:pPr>
        <w:numPr>
          <w:ilvl w:val="0"/>
          <w:numId w:val="34"/>
        </w:numPr>
        <w:tabs>
          <w:tab w:val="num" w:pos="720"/>
        </w:tabs>
        <w:spacing w:after="0"/>
        <w:ind w:left="720" w:hanging="720"/>
      </w:pPr>
      <w:r>
        <w:t xml:space="preserve">The fees and charges detailed within this report and found at </w:t>
      </w:r>
      <w:r>
        <w:rPr>
          <w:b/>
        </w:rPr>
        <w:t>Appendix 1</w:t>
      </w:r>
      <w:r>
        <w:t xml:space="preserve"> relate solely to the functions of the </w:t>
      </w:r>
      <w:r w:rsidR="00CA26EE">
        <w:t>Business Regulation</w:t>
      </w:r>
      <w:r>
        <w:t xml:space="preserve"> Team. A further report will be provided to Members in relation to the fees and charges related to the functions of the </w:t>
      </w:r>
      <w:r w:rsidR="00CA26EE">
        <w:t xml:space="preserve">General </w:t>
      </w:r>
      <w:r>
        <w:t>Licensing Team.</w:t>
      </w:r>
    </w:p>
    <w:p w14:paraId="4F4C199B" w14:textId="77777777" w:rsidR="00853FB3" w:rsidRDefault="00853FB3" w:rsidP="00853FB3">
      <w:pPr>
        <w:spacing w:after="0"/>
      </w:pPr>
    </w:p>
    <w:p w14:paraId="357F39B5" w14:textId="77777777" w:rsidR="003356D5" w:rsidRDefault="00853FB3" w:rsidP="003356D5">
      <w:pPr>
        <w:numPr>
          <w:ilvl w:val="0"/>
          <w:numId w:val="34"/>
        </w:numPr>
        <w:tabs>
          <w:tab w:val="num" w:pos="720"/>
        </w:tabs>
        <w:spacing w:after="0"/>
        <w:ind w:left="720" w:hanging="720"/>
      </w:pPr>
      <w:r>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14:paraId="6CD5ABE5" w14:textId="77777777" w:rsidR="003356D5" w:rsidRDefault="003356D5" w:rsidP="003356D5">
      <w:pPr>
        <w:pStyle w:val="ListParagraph"/>
        <w:numPr>
          <w:ilvl w:val="0"/>
          <w:numId w:val="0"/>
        </w:numPr>
        <w:ind w:left="360"/>
      </w:pPr>
    </w:p>
    <w:p w14:paraId="5C30538C" w14:textId="77777777" w:rsidR="003356D5" w:rsidRDefault="003356D5" w:rsidP="003356D5">
      <w:pPr>
        <w:numPr>
          <w:ilvl w:val="0"/>
          <w:numId w:val="34"/>
        </w:numPr>
        <w:tabs>
          <w:tab w:val="num" w:pos="720"/>
        </w:tabs>
        <w:spacing w:after="0"/>
        <w:ind w:left="720" w:hanging="720"/>
      </w:pPr>
      <w:r>
        <w:t xml:space="preserve">Licence fees set by the Council and administered in the Miscellaneous Licensing function </w:t>
      </w:r>
      <w:r w:rsidR="00527A9B">
        <w:t xml:space="preserve">within the Business Regulation Team </w:t>
      </w:r>
      <w:r>
        <w:t>comprise the following: Acupuncture, Ear Piercing, Electrolysis &amp; Tattooing, Animal Boarding, Dangerous Wild Animals, Dog Breeding, Pavement Cafes, Pet Shops, Exhibiting Animals, Riding Establishments, Street Trading and Zoos.</w:t>
      </w:r>
    </w:p>
    <w:p w14:paraId="4501F64E" w14:textId="77777777" w:rsidR="003356D5" w:rsidRDefault="003356D5" w:rsidP="003356D5">
      <w:pPr>
        <w:spacing w:after="0"/>
      </w:pPr>
    </w:p>
    <w:p w14:paraId="7752DD02" w14:textId="661F5C56" w:rsidR="003356D5" w:rsidRDefault="003356D5" w:rsidP="003356D5">
      <w:pPr>
        <w:spacing w:after="0"/>
        <w:ind w:left="720" w:hanging="720"/>
      </w:pPr>
      <w:r>
        <w:t>5.</w:t>
      </w:r>
      <w:r>
        <w:tab/>
      </w:r>
      <w:r w:rsidR="00527A9B" w:rsidRPr="00151194">
        <w:t>Members are asked to note that the fees have been revised and minor increase</w:t>
      </w:r>
      <w:r w:rsidR="00151194" w:rsidRPr="00151194">
        <w:t xml:space="preserve">s </w:t>
      </w:r>
      <w:r w:rsidR="00527A9B" w:rsidRPr="00151194">
        <w:t xml:space="preserve">applied to cover the Authority costs, </w:t>
      </w:r>
      <w:r w:rsidR="00527A9B" w:rsidRPr="00151194">
        <w:rPr>
          <w:color w:val="auto"/>
        </w:rPr>
        <w:t>due to inflationary pressures</w:t>
      </w:r>
      <w:r w:rsidR="00527A9B" w:rsidRPr="00151194">
        <w:t xml:space="preserve">. </w:t>
      </w:r>
    </w:p>
    <w:p w14:paraId="40F58B4A" w14:textId="77777777" w:rsidR="003356D5" w:rsidRDefault="003356D5" w:rsidP="003356D5">
      <w:pPr>
        <w:ind w:left="720" w:hanging="720"/>
      </w:pPr>
    </w:p>
    <w:p w14:paraId="26ED6F93" w14:textId="4E2AEC71" w:rsidR="00500AEE" w:rsidRDefault="004F41CC" w:rsidP="004F41CC">
      <w:pPr>
        <w:pStyle w:val="ListParagraph"/>
        <w:ind w:left="709" w:hanging="709"/>
      </w:pPr>
      <w:r>
        <w:lastRenderedPageBreak/>
        <w:t xml:space="preserve">    </w:t>
      </w:r>
      <w:r w:rsidR="00D61EE9" w:rsidRPr="004F41CC">
        <w:t>In 2020 central Government</w:t>
      </w:r>
      <w:r w:rsidR="007E29F1" w:rsidRPr="004F41CC">
        <w:t xml:space="preserve"> brought in Pavement Licences under new temporary provisions in the Business and Planning Act 2020. Originally a 12 months scheme, the Pavement Licence provisions </w:t>
      </w:r>
      <w:r w:rsidR="00151194">
        <w:t>have</w:t>
      </w:r>
      <w:r w:rsidR="007E29F1" w:rsidRPr="004F41CC">
        <w:t xml:space="preserve"> subsequently </w:t>
      </w:r>
      <w:r w:rsidR="00151194">
        <w:t xml:space="preserve">been </w:t>
      </w:r>
      <w:r w:rsidR="007E29F1" w:rsidRPr="004F41CC">
        <w:t xml:space="preserve">extended </w:t>
      </w:r>
      <w:r w:rsidR="00151194">
        <w:t xml:space="preserve">twice </w:t>
      </w:r>
      <w:r w:rsidR="007E29F1" w:rsidRPr="004F41CC">
        <w:t>and currently run until September 202</w:t>
      </w:r>
      <w:r w:rsidR="00151194">
        <w:t>3</w:t>
      </w:r>
      <w:r w:rsidR="007E29F1" w:rsidRPr="004F41CC">
        <w:t xml:space="preserve">. </w:t>
      </w:r>
      <w:r w:rsidR="006D18EE">
        <w:t>The mandatory £100 fee set by Government is insufficient to meet service costs. I</w:t>
      </w:r>
      <w:r w:rsidR="007E29F1" w:rsidRPr="004F41CC">
        <w:t xml:space="preserve">n the event that the provisions are not extended beyond that date, </w:t>
      </w:r>
      <w:r w:rsidR="006D18EE" w:rsidRPr="004F41CC">
        <w:t xml:space="preserve">the pre-existing Street Cafes provisions </w:t>
      </w:r>
      <w:r w:rsidR="006D18EE">
        <w:t xml:space="preserve">would be the only way to gain permission for </w:t>
      </w:r>
      <w:r w:rsidR="007E29F1" w:rsidRPr="004F41CC">
        <w:t>outdoor tables and chairs</w:t>
      </w:r>
      <w:r w:rsidR="006D18EE">
        <w:t>.</w:t>
      </w:r>
      <w:r w:rsidR="007E29F1" w:rsidRPr="004F41CC">
        <w:t xml:space="preserve"> It is therefore proposed that</w:t>
      </w:r>
      <w:r w:rsidR="006D18EE">
        <w:t>, in the event that the Pavement Licence provisions are not extended beyond September 2023,</w:t>
      </w:r>
      <w:r w:rsidR="007E29F1" w:rsidRPr="004F41CC">
        <w:t xml:space="preserve"> fees for a Street Café Licence be amended from a single charge of £100 to reflect the number of tables and chairs applied for. </w:t>
      </w:r>
      <w:r w:rsidR="00500AEE" w:rsidRPr="004F41CC">
        <w:t xml:space="preserve">The proposed fees </w:t>
      </w:r>
      <w:r w:rsidR="007704A3">
        <w:t>are set out</w:t>
      </w:r>
      <w:r w:rsidR="00500AEE" w:rsidRPr="004F41CC">
        <w:t xml:space="preserve"> in Appendix A</w:t>
      </w:r>
      <w:r w:rsidR="00705ADD">
        <w:t>.</w:t>
      </w:r>
    </w:p>
    <w:p w14:paraId="7DDE1E22" w14:textId="77777777" w:rsidR="00500AEE" w:rsidRDefault="00500AEE" w:rsidP="00500AEE">
      <w:pPr>
        <w:spacing w:after="0"/>
        <w:ind w:left="720" w:hanging="720"/>
      </w:pPr>
    </w:p>
    <w:p w14:paraId="4D370659" w14:textId="77777777" w:rsidR="00E87F7A" w:rsidRPr="004F41CC" w:rsidRDefault="000D6E28" w:rsidP="00D6640B">
      <w:pPr>
        <w:pStyle w:val="ListParagraph"/>
        <w:tabs>
          <w:tab w:val="clear" w:pos="426"/>
          <w:tab w:val="left" w:pos="709"/>
        </w:tabs>
        <w:ind w:left="709" w:hanging="709"/>
      </w:pPr>
      <w:r w:rsidRPr="004F41CC">
        <w:t>The Council is responsible for collecting licence fees for these functions. Predicted income from licence fees is included in the Cou</w:t>
      </w:r>
      <w:r w:rsidR="00552997" w:rsidRPr="004F41CC">
        <w:t>ncil’s budget estimates for 202</w:t>
      </w:r>
      <w:r w:rsidR="006D18EE">
        <w:t>3</w:t>
      </w:r>
      <w:r w:rsidR="00E651E9" w:rsidRPr="004F41CC">
        <w:t>/2</w:t>
      </w:r>
      <w:r w:rsidR="006D18EE">
        <w:t>4</w:t>
      </w:r>
      <w:r w:rsidRPr="004F41CC">
        <w:t>.</w:t>
      </w:r>
    </w:p>
    <w:p w14:paraId="52FB51E2" w14:textId="77777777" w:rsidR="0040736F" w:rsidRPr="001356F1" w:rsidRDefault="00DA614B" w:rsidP="004A6D2F">
      <w:pPr>
        <w:pStyle w:val="Heading1"/>
      </w:pPr>
      <w:r w:rsidRPr="001356F1">
        <w:t>Legal issues</w:t>
      </w:r>
    </w:p>
    <w:p w14:paraId="0E8124DE" w14:textId="77777777" w:rsidR="00E87F7A" w:rsidRPr="001356F1"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14:paraId="0B70235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2292"/>
        <w:gridCol w:w="6804"/>
      </w:tblGrid>
      <w:tr w:rsidR="00DF093E" w:rsidRPr="001356F1" w14:paraId="159F9716" w14:textId="77777777" w:rsidTr="00A822A9">
        <w:trPr>
          <w:cantSplit/>
          <w:trHeight w:val="396"/>
        </w:trPr>
        <w:tc>
          <w:tcPr>
            <w:tcW w:w="2292" w:type="dxa"/>
            <w:tcBorders>
              <w:top w:val="single" w:sz="8" w:space="0" w:color="000000"/>
              <w:left w:val="single" w:sz="8" w:space="0" w:color="000000"/>
              <w:bottom w:val="single" w:sz="8" w:space="0" w:color="000000"/>
              <w:right w:val="nil"/>
            </w:tcBorders>
            <w:shd w:val="clear" w:color="auto" w:fill="auto"/>
          </w:tcPr>
          <w:p w14:paraId="68091134" w14:textId="77777777" w:rsidR="00E87F7A" w:rsidRPr="001356F1" w:rsidRDefault="00E87F7A" w:rsidP="00A46E98">
            <w:pPr>
              <w:rPr>
                <w:b/>
              </w:rPr>
            </w:pPr>
            <w:r w:rsidRPr="001356F1">
              <w:rPr>
                <w:b/>
              </w:rPr>
              <w:t>Report author</w:t>
            </w:r>
          </w:p>
        </w:tc>
        <w:tc>
          <w:tcPr>
            <w:tcW w:w="6804" w:type="dxa"/>
            <w:tcBorders>
              <w:top w:val="single" w:sz="8" w:space="0" w:color="000000"/>
              <w:left w:val="nil"/>
              <w:bottom w:val="single" w:sz="8" w:space="0" w:color="000000"/>
              <w:right w:val="single" w:sz="8" w:space="0" w:color="000000"/>
            </w:tcBorders>
            <w:shd w:val="clear" w:color="auto" w:fill="auto"/>
          </w:tcPr>
          <w:p w14:paraId="3EE5EC1B" w14:textId="77777777" w:rsidR="00E87F7A" w:rsidRPr="000D6E28" w:rsidRDefault="00CA26EE" w:rsidP="00A46E98">
            <w:pPr>
              <w:rPr>
                <w:b/>
              </w:rPr>
            </w:pPr>
            <w:r>
              <w:rPr>
                <w:b/>
              </w:rPr>
              <w:t>David Stevens</w:t>
            </w:r>
          </w:p>
        </w:tc>
      </w:tr>
      <w:tr w:rsidR="00DF093E" w:rsidRPr="001356F1" w14:paraId="2B5EE741" w14:textId="77777777" w:rsidTr="00A822A9">
        <w:trPr>
          <w:cantSplit/>
          <w:trHeight w:val="396"/>
        </w:trPr>
        <w:tc>
          <w:tcPr>
            <w:tcW w:w="2292" w:type="dxa"/>
            <w:tcBorders>
              <w:top w:val="single" w:sz="8" w:space="0" w:color="000000"/>
              <w:left w:val="single" w:sz="8" w:space="0" w:color="000000"/>
              <w:bottom w:val="nil"/>
              <w:right w:val="nil"/>
            </w:tcBorders>
            <w:shd w:val="clear" w:color="auto" w:fill="auto"/>
          </w:tcPr>
          <w:p w14:paraId="2673E137" w14:textId="77777777" w:rsidR="00E87F7A" w:rsidRPr="001356F1" w:rsidRDefault="00E87F7A" w:rsidP="00A46E98"/>
        </w:tc>
        <w:tc>
          <w:tcPr>
            <w:tcW w:w="6804" w:type="dxa"/>
            <w:tcBorders>
              <w:top w:val="single" w:sz="8" w:space="0" w:color="000000"/>
              <w:left w:val="nil"/>
              <w:bottom w:val="nil"/>
              <w:right w:val="single" w:sz="8" w:space="0" w:color="000000"/>
            </w:tcBorders>
            <w:shd w:val="clear" w:color="auto" w:fill="auto"/>
          </w:tcPr>
          <w:p w14:paraId="4693B3A0" w14:textId="77777777" w:rsidR="00E87F7A" w:rsidRPr="000D6E28" w:rsidRDefault="006D18EE" w:rsidP="006D18EE">
            <w:pPr>
              <w:rPr>
                <w:b/>
              </w:rPr>
            </w:pPr>
            <w:r>
              <w:rPr>
                <w:b/>
              </w:rPr>
              <w:t xml:space="preserve">Principal Lead Officer, </w:t>
            </w:r>
            <w:r w:rsidR="00CA26EE">
              <w:rPr>
                <w:b/>
              </w:rPr>
              <w:t>Business Regulation</w:t>
            </w:r>
            <w:r w:rsidR="000D6E28" w:rsidRPr="000D6E28">
              <w:rPr>
                <w:b/>
              </w:rPr>
              <w:t xml:space="preserve"> Team </w:t>
            </w:r>
          </w:p>
        </w:tc>
      </w:tr>
      <w:tr w:rsidR="00DF093E" w:rsidRPr="001356F1" w14:paraId="7490DBC0" w14:textId="77777777" w:rsidTr="00A822A9">
        <w:trPr>
          <w:cantSplit/>
          <w:trHeight w:val="396"/>
        </w:trPr>
        <w:tc>
          <w:tcPr>
            <w:tcW w:w="2292" w:type="dxa"/>
            <w:tcBorders>
              <w:top w:val="nil"/>
              <w:left w:val="single" w:sz="8" w:space="0" w:color="000000"/>
              <w:bottom w:val="nil"/>
              <w:right w:val="nil"/>
            </w:tcBorders>
            <w:shd w:val="clear" w:color="auto" w:fill="auto"/>
          </w:tcPr>
          <w:p w14:paraId="72DA7231" w14:textId="77777777" w:rsidR="00E87F7A" w:rsidRPr="001356F1" w:rsidRDefault="00E87F7A" w:rsidP="00A46E98"/>
        </w:tc>
        <w:tc>
          <w:tcPr>
            <w:tcW w:w="6804" w:type="dxa"/>
            <w:tcBorders>
              <w:top w:val="nil"/>
              <w:left w:val="nil"/>
              <w:bottom w:val="nil"/>
              <w:right w:val="single" w:sz="8" w:space="0" w:color="000000"/>
            </w:tcBorders>
            <w:shd w:val="clear" w:color="auto" w:fill="auto"/>
          </w:tcPr>
          <w:p w14:paraId="415BA9E0" w14:textId="77777777" w:rsidR="00E87F7A" w:rsidRPr="000D6E28" w:rsidRDefault="00552997" w:rsidP="00A46E98">
            <w:pPr>
              <w:rPr>
                <w:b/>
              </w:rPr>
            </w:pPr>
            <w:r>
              <w:rPr>
                <w:b/>
              </w:rPr>
              <w:t>Regulatory Services and Community Safety</w:t>
            </w:r>
          </w:p>
        </w:tc>
      </w:tr>
      <w:tr w:rsidR="00DF093E" w:rsidRPr="001356F1" w14:paraId="6CE983F9" w14:textId="77777777" w:rsidTr="00A822A9">
        <w:trPr>
          <w:cantSplit/>
          <w:trHeight w:val="396"/>
        </w:trPr>
        <w:tc>
          <w:tcPr>
            <w:tcW w:w="2292" w:type="dxa"/>
            <w:tcBorders>
              <w:top w:val="nil"/>
              <w:left w:val="single" w:sz="8" w:space="0" w:color="000000"/>
              <w:bottom w:val="nil"/>
              <w:right w:val="nil"/>
            </w:tcBorders>
            <w:shd w:val="clear" w:color="auto" w:fill="auto"/>
          </w:tcPr>
          <w:p w14:paraId="744B4BBC" w14:textId="77777777" w:rsidR="00E87F7A" w:rsidRPr="001356F1" w:rsidRDefault="00E87F7A" w:rsidP="00A46E98"/>
        </w:tc>
        <w:tc>
          <w:tcPr>
            <w:tcW w:w="6804" w:type="dxa"/>
            <w:tcBorders>
              <w:top w:val="nil"/>
              <w:left w:val="nil"/>
              <w:bottom w:val="nil"/>
              <w:right w:val="single" w:sz="8" w:space="0" w:color="000000"/>
            </w:tcBorders>
            <w:shd w:val="clear" w:color="auto" w:fill="auto"/>
          </w:tcPr>
          <w:p w14:paraId="07A55639" w14:textId="77777777" w:rsidR="00E87F7A" w:rsidRPr="000D6E28" w:rsidRDefault="00E87F7A" w:rsidP="003356D5">
            <w:pPr>
              <w:rPr>
                <w:b/>
              </w:rPr>
            </w:pPr>
            <w:r w:rsidRPr="000D6E28">
              <w:rPr>
                <w:b/>
              </w:rPr>
              <w:t xml:space="preserve">01865 </w:t>
            </w:r>
            <w:r w:rsidR="000D6E28" w:rsidRPr="003356D5">
              <w:rPr>
                <w:b/>
              </w:rPr>
              <w:t>2525</w:t>
            </w:r>
            <w:r w:rsidR="003356D5" w:rsidRPr="003356D5">
              <w:rPr>
                <w:b/>
              </w:rPr>
              <w:t>5</w:t>
            </w:r>
            <w:r w:rsidR="000D6E28" w:rsidRPr="003356D5">
              <w:rPr>
                <w:b/>
              </w:rPr>
              <w:t>6</w:t>
            </w:r>
          </w:p>
        </w:tc>
      </w:tr>
      <w:tr w:rsidR="005570B5" w:rsidRPr="001356F1" w14:paraId="4584B559" w14:textId="77777777" w:rsidTr="00A822A9">
        <w:trPr>
          <w:cantSplit/>
          <w:trHeight w:val="396"/>
        </w:trPr>
        <w:tc>
          <w:tcPr>
            <w:tcW w:w="2292" w:type="dxa"/>
            <w:tcBorders>
              <w:top w:val="nil"/>
              <w:left w:val="single" w:sz="8" w:space="0" w:color="000000"/>
              <w:bottom w:val="single" w:sz="8" w:space="0" w:color="000000"/>
              <w:right w:val="nil"/>
            </w:tcBorders>
            <w:shd w:val="clear" w:color="auto" w:fill="auto"/>
          </w:tcPr>
          <w:p w14:paraId="5578DB4C" w14:textId="77777777" w:rsidR="00E87F7A" w:rsidRPr="001356F1" w:rsidRDefault="00E87F7A" w:rsidP="00A46E98"/>
        </w:tc>
        <w:tc>
          <w:tcPr>
            <w:tcW w:w="6804" w:type="dxa"/>
            <w:tcBorders>
              <w:top w:val="nil"/>
              <w:left w:val="nil"/>
              <w:bottom w:val="single" w:sz="8" w:space="0" w:color="000000"/>
              <w:right w:val="single" w:sz="8" w:space="0" w:color="000000"/>
            </w:tcBorders>
            <w:shd w:val="clear" w:color="auto" w:fill="auto"/>
          </w:tcPr>
          <w:p w14:paraId="1881C58F" w14:textId="77777777" w:rsidR="00CA26EE" w:rsidRPr="001356F1" w:rsidRDefault="00507926" w:rsidP="00CA26EE">
            <w:pPr>
              <w:rPr>
                <w:rStyle w:val="Hyperlink"/>
                <w:color w:val="000000"/>
              </w:rPr>
            </w:pPr>
            <w:hyperlink r:id="rId8" w:history="1">
              <w:r w:rsidR="00CA26EE" w:rsidRPr="00861CD8">
                <w:rPr>
                  <w:rStyle w:val="Hyperlink"/>
                </w:rPr>
                <w:t>dstevens@oxford.gov.uk</w:t>
              </w:r>
            </w:hyperlink>
          </w:p>
        </w:tc>
      </w:tr>
    </w:tbl>
    <w:p w14:paraId="0F2DEC3B" w14:textId="77777777" w:rsidR="00A4626B" w:rsidRDefault="00A4626B" w:rsidP="0093067A"/>
    <w:p w14:paraId="09A117A4" w14:textId="69EB2442" w:rsidR="00A66834" w:rsidRDefault="00A66834">
      <w:pPr>
        <w:spacing w:after="0"/>
        <w:rPr>
          <w:b/>
          <w:bCs/>
        </w:rPr>
      </w:pPr>
      <w:r>
        <w:rPr>
          <w:b/>
          <w:bCs/>
        </w:rPr>
        <w:br w:type="page"/>
      </w:r>
    </w:p>
    <w:p w14:paraId="7CDAEBD0" w14:textId="77777777" w:rsidR="00151194" w:rsidRDefault="00151194" w:rsidP="0093067A">
      <w:pPr>
        <w:rPr>
          <w:b/>
          <w:bCs/>
        </w:rPr>
      </w:pPr>
    </w:p>
    <w:p w14:paraId="0414A428" w14:textId="77777777" w:rsidR="004456DD" w:rsidRDefault="00A25351" w:rsidP="0093067A">
      <w:pPr>
        <w:rPr>
          <w:b/>
          <w:bCs/>
        </w:rPr>
      </w:pPr>
      <w:r w:rsidRPr="00324EE7">
        <w:rPr>
          <w:b/>
          <w:bCs/>
        </w:rPr>
        <w:t>Appendix A:</w:t>
      </w:r>
      <w:r w:rsidRPr="00324EE7">
        <w:rPr>
          <w:b/>
          <w:bCs/>
        </w:rPr>
        <w:tab/>
        <w:t xml:space="preserve">Proposed Fees &amp; Charges for </w:t>
      </w:r>
      <w:r>
        <w:rPr>
          <w:b/>
          <w:bCs/>
        </w:rPr>
        <w:t>2022/2023</w:t>
      </w:r>
      <w:r w:rsidRPr="00324EE7">
        <w:rPr>
          <w:b/>
          <w:bCs/>
        </w:rPr>
        <w:t xml:space="preserve"> applicable to the Miscellaneous Licensing functions within the Business Regulation Team</w:t>
      </w:r>
    </w:p>
    <w:p w14:paraId="26EA4123" w14:textId="77777777" w:rsidR="00151194" w:rsidRPr="008F3931" w:rsidRDefault="00151194" w:rsidP="008F3931">
      <w:r>
        <w:rPr>
          <w:noProof/>
        </w:rPr>
        <w:drawing>
          <wp:inline distT="0" distB="0" distL="0" distR="0" wp14:anchorId="03D1B4CF" wp14:editId="1F121B8E">
            <wp:extent cx="5929746" cy="619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3328" cy="620134"/>
                    </a:xfrm>
                    <a:prstGeom prst="rect">
                      <a:avLst/>
                    </a:prstGeom>
                  </pic:spPr>
                </pic:pic>
              </a:graphicData>
            </a:graphic>
          </wp:inline>
        </w:drawing>
      </w:r>
      <w:r>
        <w:rPr>
          <w:noProof/>
        </w:rPr>
        <w:drawing>
          <wp:inline distT="0" distB="0" distL="0" distR="0" wp14:anchorId="14B7CC76" wp14:editId="6A2B9558">
            <wp:extent cx="5904230" cy="2242820"/>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4230" cy="2242820"/>
                    </a:xfrm>
                    <a:prstGeom prst="rect">
                      <a:avLst/>
                    </a:prstGeom>
                  </pic:spPr>
                </pic:pic>
              </a:graphicData>
            </a:graphic>
          </wp:inline>
        </w:drawing>
      </w:r>
      <w:r>
        <w:rPr>
          <w:noProof/>
        </w:rPr>
        <w:drawing>
          <wp:inline distT="0" distB="0" distL="0" distR="0" wp14:anchorId="250D3FF1" wp14:editId="085AB468">
            <wp:extent cx="5904230" cy="212852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4230" cy="2128520"/>
                    </a:xfrm>
                    <a:prstGeom prst="rect">
                      <a:avLst/>
                    </a:prstGeom>
                  </pic:spPr>
                </pic:pic>
              </a:graphicData>
            </a:graphic>
          </wp:inline>
        </w:drawing>
      </w:r>
    </w:p>
    <w:sectPr w:rsidR="00151194" w:rsidRPr="008F3931" w:rsidSect="001D58AF">
      <w:footerReference w:type="even" r:id="rId12"/>
      <w:headerReference w:type="first" r:id="rId13"/>
      <w:footerReference w:type="first" r:id="rId14"/>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3F757" w14:textId="77777777" w:rsidR="004D0D69" w:rsidRDefault="004D0D69" w:rsidP="004A6D2F">
      <w:r>
        <w:separator/>
      </w:r>
    </w:p>
  </w:endnote>
  <w:endnote w:type="continuationSeparator" w:id="0">
    <w:p w14:paraId="1EDFFB21" w14:textId="77777777" w:rsidR="004D0D69" w:rsidRDefault="004D0D6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07BB" w14:textId="77777777" w:rsidR="00364FAD" w:rsidRDefault="00364FAD" w:rsidP="004A6D2F">
    <w:pPr>
      <w:pStyle w:val="Footer"/>
    </w:pPr>
    <w:r>
      <w:t>Do not use a footer or page numbers.</w:t>
    </w:r>
  </w:p>
  <w:p w14:paraId="132C5CD7" w14:textId="77777777" w:rsidR="00364FAD" w:rsidRDefault="00364FAD" w:rsidP="004A6D2F">
    <w:pPr>
      <w:pStyle w:val="Footer"/>
    </w:pPr>
  </w:p>
  <w:p w14:paraId="27F257A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99B5"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08FC7" w14:textId="77777777" w:rsidR="004D0D69" w:rsidRDefault="004D0D69" w:rsidP="004A6D2F">
      <w:r>
        <w:separator/>
      </w:r>
    </w:p>
  </w:footnote>
  <w:footnote w:type="continuationSeparator" w:id="0">
    <w:p w14:paraId="48AAF469" w14:textId="77777777" w:rsidR="004D0D69" w:rsidRDefault="004D0D6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BBC1" w14:textId="77777777" w:rsidR="00D5547E" w:rsidRDefault="00FE5758" w:rsidP="00D5547E">
    <w:pPr>
      <w:pStyle w:val="Header"/>
      <w:jc w:val="right"/>
    </w:pPr>
    <w:r>
      <w:rPr>
        <w:noProof/>
      </w:rPr>
      <w:drawing>
        <wp:inline distT="0" distB="0" distL="0" distR="0" wp14:anchorId="5C6AE47F" wp14:editId="0BCCC0B2">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28E06E50"/>
    <w:lvl w:ilvl="0">
      <w:start w:val="6"/>
      <w:numFmt w:val="decimal"/>
      <w:pStyle w:val="ListParagraph"/>
      <w:lvlText w:val="%1."/>
      <w:lvlJc w:val="left"/>
      <w:pPr>
        <w:ind w:left="2064" w:hanging="360"/>
      </w:pPr>
      <w:rPr>
        <w:rFonts w:ascii="Arial" w:hAnsi="Arial" w:hint="default"/>
        <w:color w:val="000000"/>
        <w:sz w:val="24"/>
      </w:rPr>
    </w:lvl>
    <w:lvl w:ilvl="1">
      <w:start w:val="1"/>
      <w:numFmt w:val="lowerLetter"/>
      <w:lvlText w:val="%2."/>
      <w:lvlJc w:val="left"/>
      <w:pPr>
        <w:ind w:left="2784" w:hanging="360"/>
      </w:pPr>
      <w:rPr>
        <w:rFonts w:hint="default"/>
      </w:rPr>
    </w:lvl>
    <w:lvl w:ilvl="2">
      <w:start w:val="1"/>
      <w:numFmt w:val="lowerRoman"/>
      <w:lvlText w:val="%3."/>
      <w:lvlJc w:val="right"/>
      <w:pPr>
        <w:ind w:left="3504" w:hanging="180"/>
      </w:pPr>
      <w:rPr>
        <w:rFonts w:hint="default"/>
      </w:rPr>
    </w:lvl>
    <w:lvl w:ilvl="3">
      <w:start w:val="1"/>
      <w:numFmt w:val="decimal"/>
      <w:lvlText w:val="%4."/>
      <w:lvlJc w:val="left"/>
      <w:pPr>
        <w:ind w:left="4224" w:hanging="360"/>
      </w:pPr>
      <w:rPr>
        <w:rFonts w:hint="default"/>
      </w:rPr>
    </w:lvl>
    <w:lvl w:ilvl="4">
      <w:start w:val="1"/>
      <w:numFmt w:val="lowerLetter"/>
      <w:lvlText w:val="%5."/>
      <w:lvlJc w:val="left"/>
      <w:pPr>
        <w:ind w:left="4944" w:hanging="360"/>
      </w:pPr>
      <w:rPr>
        <w:rFonts w:hint="default"/>
      </w:rPr>
    </w:lvl>
    <w:lvl w:ilvl="5">
      <w:start w:val="1"/>
      <w:numFmt w:val="lowerRoman"/>
      <w:lvlText w:val="%6."/>
      <w:lvlJc w:val="right"/>
      <w:pPr>
        <w:ind w:left="5664" w:hanging="180"/>
      </w:pPr>
      <w:rPr>
        <w:rFonts w:hint="default"/>
      </w:rPr>
    </w:lvl>
    <w:lvl w:ilvl="6">
      <w:start w:val="1"/>
      <w:numFmt w:val="decimal"/>
      <w:lvlText w:val="%7."/>
      <w:lvlJc w:val="left"/>
      <w:pPr>
        <w:ind w:left="6384" w:hanging="360"/>
      </w:pPr>
      <w:rPr>
        <w:rFonts w:hint="default"/>
      </w:rPr>
    </w:lvl>
    <w:lvl w:ilvl="7">
      <w:start w:val="1"/>
      <w:numFmt w:val="lowerLetter"/>
      <w:lvlText w:val="%8."/>
      <w:lvlJc w:val="left"/>
      <w:pPr>
        <w:ind w:left="7104" w:hanging="360"/>
      </w:pPr>
      <w:rPr>
        <w:rFonts w:hint="default"/>
      </w:rPr>
    </w:lvl>
    <w:lvl w:ilvl="8">
      <w:start w:val="1"/>
      <w:numFmt w:val="lowerRoman"/>
      <w:lvlText w:val="%9."/>
      <w:lvlJc w:val="right"/>
      <w:pPr>
        <w:ind w:left="7824" w:hanging="180"/>
      </w:pPr>
      <w:rPr>
        <w:rFonts w:hint="default"/>
      </w:rPr>
    </w:lvl>
  </w:abstractNum>
  <w:num w:numId="1">
    <w:abstractNumId w:val="27"/>
  </w:num>
  <w:num w:numId="2">
    <w:abstractNumId w:val="32"/>
  </w:num>
  <w:num w:numId="3">
    <w:abstractNumId w:val="24"/>
  </w:num>
  <w:num w:numId="4">
    <w:abstractNumId w:val="20"/>
  </w:num>
  <w:num w:numId="5">
    <w:abstractNumId w:val="29"/>
  </w:num>
  <w:num w:numId="6">
    <w:abstractNumId w:val="34"/>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5"/>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1/01/2020 14:37"/>
  </w:docVars>
  <w:rsids>
    <w:rsidRoot w:val="00FE5758"/>
    <w:rsid w:val="00001ADC"/>
    <w:rsid w:val="000117D4"/>
    <w:rsid w:val="00015AFD"/>
    <w:rsid w:val="000314D7"/>
    <w:rsid w:val="00045F8B"/>
    <w:rsid w:val="00046D2B"/>
    <w:rsid w:val="00056263"/>
    <w:rsid w:val="00061E35"/>
    <w:rsid w:val="00064D8A"/>
    <w:rsid w:val="00064F82"/>
    <w:rsid w:val="00066510"/>
    <w:rsid w:val="00077523"/>
    <w:rsid w:val="0008077F"/>
    <w:rsid w:val="000C089F"/>
    <w:rsid w:val="000C3928"/>
    <w:rsid w:val="000C5E8E"/>
    <w:rsid w:val="000D6E28"/>
    <w:rsid w:val="000F4751"/>
    <w:rsid w:val="0010524C"/>
    <w:rsid w:val="00111FB1"/>
    <w:rsid w:val="00113418"/>
    <w:rsid w:val="001356F1"/>
    <w:rsid w:val="00136994"/>
    <w:rsid w:val="0014128E"/>
    <w:rsid w:val="0014219C"/>
    <w:rsid w:val="00151194"/>
    <w:rsid w:val="00151888"/>
    <w:rsid w:val="00170A2D"/>
    <w:rsid w:val="001808BC"/>
    <w:rsid w:val="00182B81"/>
    <w:rsid w:val="0018619D"/>
    <w:rsid w:val="00190FA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84F85"/>
    <w:rsid w:val="00290915"/>
    <w:rsid w:val="002A22E2"/>
    <w:rsid w:val="002C001A"/>
    <w:rsid w:val="002C64F7"/>
    <w:rsid w:val="002D7E49"/>
    <w:rsid w:val="002F1305"/>
    <w:rsid w:val="002F41F2"/>
    <w:rsid w:val="00301BF3"/>
    <w:rsid w:val="0030208D"/>
    <w:rsid w:val="00323418"/>
    <w:rsid w:val="003356D5"/>
    <w:rsid w:val="003357BF"/>
    <w:rsid w:val="00364FAD"/>
    <w:rsid w:val="0036738F"/>
    <w:rsid w:val="0036759C"/>
    <w:rsid w:val="00367AE5"/>
    <w:rsid w:val="00367D71"/>
    <w:rsid w:val="0038150A"/>
    <w:rsid w:val="003A024C"/>
    <w:rsid w:val="003B6E75"/>
    <w:rsid w:val="003B7DA1"/>
    <w:rsid w:val="003C6E0C"/>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0D69"/>
    <w:rsid w:val="004D2626"/>
    <w:rsid w:val="004D481B"/>
    <w:rsid w:val="004D6E26"/>
    <w:rsid w:val="004D77D3"/>
    <w:rsid w:val="004E2959"/>
    <w:rsid w:val="004F20EF"/>
    <w:rsid w:val="004F41CC"/>
    <w:rsid w:val="00500AEE"/>
    <w:rsid w:val="0050321C"/>
    <w:rsid w:val="00507926"/>
    <w:rsid w:val="00527A9B"/>
    <w:rsid w:val="0054712D"/>
    <w:rsid w:val="00547EF6"/>
    <w:rsid w:val="00552997"/>
    <w:rsid w:val="005570B5"/>
    <w:rsid w:val="00567E18"/>
    <w:rsid w:val="00575F5F"/>
    <w:rsid w:val="00581805"/>
    <w:rsid w:val="00585F76"/>
    <w:rsid w:val="005A0AD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18EE"/>
    <w:rsid w:val="006D4752"/>
    <w:rsid w:val="006D708A"/>
    <w:rsid w:val="006D7DAB"/>
    <w:rsid w:val="006E14C1"/>
    <w:rsid w:val="006F0292"/>
    <w:rsid w:val="006F27FA"/>
    <w:rsid w:val="006F416B"/>
    <w:rsid w:val="006F519B"/>
    <w:rsid w:val="00705ADD"/>
    <w:rsid w:val="00713675"/>
    <w:rsid w:val="00715823"/>
    <w:rsid w:val="00737B93"/>
    <w:rsid w:val="00745BF0"/>
    <w:rsid w:val="00755A69"/>
    <w:rsid w:val="007615FE"/>
    <w:rsid w:val="0076655C"/>
    <w:rsid w:val="00766B71"/>
    <w:rsid w:val="007704A3"/>
    <w:rsid w:val="007717E4"/>
    <w:rsid w:val="007742DC"/>
    <w:rsid w:val="00791437"/>
    <w:rsid w:val="007A6122"/>
    <w:rsid w:val="007B0C2C"/>
    <w:rsid w:val="007B278E"/>
    <w:rsid w:val="007C5C23"/>
    <w:rsid w:val="007E29F1"/>
    <w:rsid w:val="007E2A26"/>
    <w:rsid w:val="007F2348"/>
    <w:rsid w:val="00803F07"/>
    <w:rsid w:val="0080749A"/>
    <w:rsid w:val="00821FB8"/>
    <w:rsid w:val="00822ACD"/>
    <w:rsid w:val="0085054A"/>
    <w:rsid w:val="00853FB3"/>
    <w:rsid w:val="00855C66"/>
    <w:rsid w:val="008618CB"/>
    <w:rsid w:val="00871EE4"/>
    <w:rsid w:val="008A43AA"/>
    <w:rsid w:val="008B293F"/>
    <w:rsid w:val="008B7371"/>
    <w:rsid w:val="008D3DDB"/>
    <w:rsid w:val="008F3931"/>
    <w:rsid w:val="008F573F"/>
    <w:rsid w:val="009034EC"/>
    <w:rsid w:val="0093067A"/>
    <w:rsid w:val="00940400"/>
    <w:rsid w:val="00941C60"/>
    <w:rsid w:val="00941FD1"/>
    <w:rsid w:val="00966D42"/>
    <w:rsid w:val="00971689"/>
    <w:rsid w:val="00973E90"/>
    <w:rsid w:val="00975B07"/>
    <w:rsid w:val="00980B4A"/>
    <w:rsid w:val="009A1677"/>
    <w:rsid w:val="009E3D0A"/>
    <w:rsid w:val="009E51FC"/>
    <w:rsid w:val="009F1D28"/>
    <w:rsid w:val="009F7618"/>
    <w:rsid w:val="00A024F7"/>
    <w:rsid w:val="00A04D23"/>
    <w:rsid w:val="00A06766"/>
    <w:rsid w:val="00A13765"/>
    <w:rsid w:val="00A21B12"/>
    <w:rsid w:val="00A23F80"/>
    <w:rsid w:val="00A25351"/>
    <w:rsid w:val="00A4626B"/>
    <w:rsid w:val="00A46E98"/>
    <w:rsid w:val="00A578F3"/>
    <w:rsid w:val="00A6352B"/>
    <w:rsid w:val="00A66834"/>
    <w:rsid w:val="00A701B5"/>
    <w:rsid w:val="00A714BB"/>
    <w:rsid w:val="00A77147"/>
    <w:rsid w:val="00A822A9"/>
    <w:rsid w:val="00A92D8F"/>
    <w:rsid w:val="00A930A5"/>
    <w:rsid w:val="00AA25CA"/>
    <w:rsid w:val="00AB2988"/>
    <w:rsid w:val="00AB7999"/>
    <w:rsid w:val="00AD3292"/>
    <w:rsid w:val="00AD7D23"/>
    <w:rsid w:val="00AE7AF0"/>
    <w:rsid w:val="00B225E7"/>
    <w:rsid w:val="00B500CA"/>
    <w:rsid w:val="00B75D23"/>
    <w:rsid w:val="00B86314"/>
    <w:rsid w:val="00BA1C2E"/>
    <w:rsid w:val="00BC200B"/>
    <w:rsid w:val="00BC4756"/>
    <w:rsid w:val="00BC69A4"/>
    <w:rsid w:val="00BE0680"/>
    <w:rsid w:val="00BE305F"/>
    <w:rsid w:val="00BE7BA3"/>
    <w:rsid w:val="00BF5682"/>
    <w:rsid w:val="00BF7B09"/>
    <w:rsid w:val="00C17549"/>
    <w:rsid w:val="00C20A95"/>
    <w:rsid w:val="00C2692F"/>
    <w:rsid w:val="00C3207C"/>
    <w:rsid w:val="00C400E1"/>
    <w:rsid w:val="00C41187"/>
    <w:rsid w:val="00C44BAE"/>
    <w:rsid w:val="00C63C31"/>
    <w:rsid w:val="00C757A0"/>
    <w:rsid w:val="00C760DE"/>
    <w:rsid w:val="00C82630"/>
    <w:rsid w:val="00C8291A"/>
    <w:rsid w:val="00C85B4E"/>
    <w:rsid w:val="00C907F7"/>
    <w:rsid w:val="00CA2103"/>
    <w:rsid w:val="00CA26EE"/>
    <w:rsid w:val="00CB6B99"/>
    <w:rsid w:val="00CC426B"/>
    <w:rsid w:val="00CE42E3"/>
    <w:rsid w:val="00CE4C87"/>
    <w:rsid w:val="00CE544A"/>
    <w:rsid w:val="00CE7A26"/>
    <w:rsid w:val="00D11E1C"/>
    <w:rsid w:val="00D160B0"/>
    <w:rsid w:val="00D17F94"/>
    <w:rsid w:val="00D223FC"/>
    <w:rsid w:val="00D26D1E"/>
    <w:rsid w:val="00D474CF"/>
    <w:rsid w:val="00D5547E"/>
    <w:rsid w:val="00D57F03"/>
    <w:rsid w:val="00D61EE9"/>
    <w:rsid w:val="00D6640B"/>
    <w:rsid w:val="00D73BBE"/>
    <w:rsid w:val="00D869A1"/>
    <w:rsid w:val="00DA413F"/>
    <w:rsid w:val="00DA4584"/>
    <w:rsid w:val="00DA614B"/>
    <w:rsid w:val="00DC2A04"/>
    <w:rsid w:val="00DC3060"/>
    <w:rsid w:val="00DE0FB2"/>
    <w:rsid w:val="00DF093E"/>
    <w:rsid w:val="00E01F42"/>
    <w:rsid w:val="00E206D6"/>
    <w:rsid w:val="00E3366E"/>
    <w:rsid w:val="00E340FB"/>
    <w:rsid w:val="00E52086"/>
    <w:rsid w:val="00E543A6"/>
    <w:rsid w:val="00E60479"/>
    <w:rsid w:val="00E61D73"/>
    <w:rsid w:val="00E651E9"/>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42686"/>
  <w15:docId w15:val="{D0FAA4B8-2961-45FD-86C5-54487130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vens@oxford.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0F62-5595-4D87-B704-417F3D4C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3343</Characters>
  <Application>Microsoft Office Word</Application>
  <DocSecurity>0</DocSecurity>
  <Lines>101</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REYESLAO Celeste</cp:lastModifiedBy>
  <cp:revision>3</cp:revision>
  <cp:lastPrinted>2015-07-03T13:50:00Z</cp:lastPrinted>
  <dcterms:created xsi:type="dcterms:W3CDTF">2023-01-26T09:23:00Z</dcterms:created>
  <dcterms:modified xsi:type="dcterms:W3CDTF">2023-01-26T09:25:00Z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0d86c50321b0396834a7a1f5a58b4f7e7b7c4dbf164481289d7e6bf24e86c4fd</vt:lpwstr>
  </property>
</Properties>
</file>